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5078A2C7" w14:textId="77777777" w:rsidTr="00DA6A67">
        <w:tc>
          <w:tcPr>
            <w:tcW w:w="1384" w:type="dxa"/>
            <w:shd w:val="clear" w:color="auto" w:fill="D9D9D9" w:themeFill="background1" w:themeFillShade="D9"/>
            <w:vAlign w:val="bottom"/>
          </w:tcPr>
          <w:p w14:paraId="4089567A" w14:textId="77777777" w:rsidR="00ED3333" w:rsidRPr="00ED3333" w:rsidRDefault="00B73776" w:rsidP="00ED3333">
            <w:pPr>
              <w:rPr>
                <w:b/>
                <w:bCs/>
                <w:sz w:val="28"/>
                <w:szCs w:val="28"/>
              </w:rPr>
            </w:pPr>
            <w:r>
              <w:rPr>
                <w:b/>
                <w:bCs/>
                <w:sz w:val="28"/>
                <w:szCs w:val="28"/>
              </w:rPr>
              <w:t>E</w:t>
            </w:r>
            <w:r w:rsidR="00ED3333" w:rsidRPr="00ED3333">
              <w:rPr>
                <w:b/>
                <w:bCs/>
                <w:sz w:val="28"/>
                <w:szCs w:val="28"/>
              </w:rPr>
              <w:t>.0</w:t>
            </w:r>
            <w:r>
              <w:rPr>
                <w:b/>
                <w:bCs/>
                <w:sz w:val="28"/>
                <w:szCs w:val="28"/>
              </w:rPr>
              <w:t>4</w:t>
            </w:r>
          </w:p>
        </w:tc>
        <w:tc>
          <w:tcPr>
            <w:tcW w:w="7826" w:type="dxa"/>
            <w:shd w:val="clear" w:color="auto" w:fill="D9D9D9" w:themeFill="background1" w:themeFillShade="D9"/>
            <w:vAlign w:val="bottom"/>
          </w:tcPr>
          <w:p w14:paraId="6FC76B9F" w14:textId="77777777" w:rsidR="00ED3333" w:rsidRPr="00ED3333" w:rsidRDefault="00B73776" w:rsidP="00ED3333">
            <w:pPr>
              <w:rPr>
                <w:b/>
                <w:bCs/>
                <w:sz w:val="28"/>
                <w:szCs w:val="28"/>
              </w:rPr>
            </w:pPr>
            <w:r>
              <w:rPr>
                <w:b/>
                <w:bCs/>
                <w:sz w:val="28"/>
                <w:szCs w:val="28"/>
              </w:rPr>
              <w:t>Opěrná stěna stávající</w:t>
            </w:r>
          </w:p>
        </w:tc>
      </w:tr>
      <w:tr w:rsidR="002F650F" w14:paraId="6FD17084" w14:textId="77777777" w:rsidTr="00B73776">
        <w:trPr>
          <w:trHeight w:val="212"/>
        </w:trPr>
        <w:tc>
          <w:tcPr>
            <w:tcW w:w="1384" w:type="dxa"/>
          </w:tcPr>
          <w:p w14:paraId="3F099B69" w14:textId="77777777" w:rsidR="002F650F" w:rsidRDefault="00ED3333" w:rsidP="002F650F">
            <w:r>
              <w:t>Úsek</w:t>
            </w:r>
          </w:p>
        </w:tc>
        <w:tc>
          <w:tcPr>
            <w:tcW w:w="7826" w:type="dxa"/>
          </w:tcPr>
          <w:p w14:paraId="6E9BF34B" w14:textId="77777777" w:rsidR="002F650F" w:rsidRDefault="00B73776" w:rsidP="002F650F">
            <w:r>
              <w:t xml:space="preserve">E (městská </w:t>
            </w:r>
            <w:proofErr w:type="gramStart"/>
            <w:r>
              <w:t>náplavka  Říční</w:t>
            </w:r>
            <w:proofErr w:type="gramEnd"/>
            <w:r>
              <w:t xml:space="preserve"> okruh)</w:t>
            </w:r>
          </w:p>
        </w:tc>
      </w:tr>
    </w:tbl>
    <w:p w14:paraId="50D663ED" w14:textId="77777777" w:rsidR="00BE0FEB" w:rsidRDefault="00BE0FEB">
      <w:pPr>
        <w:pStyle w:val="Bntext"/>
      </w:pPr>
    </w:p>
    <w:p w14:paraId="4BC44B32" w14:textId="77777777" w:rsidR="002F650F" w:rsidRDefault="008E208F" w:rsidP="00DA6A67">
      <w:pPr>
        <w:pStyle w:val="NadpisC"/>
      </w:pPr>
      <w:r>
        <w:t>1</w:t>
      </w:r>
      <w:r>
        <w:tab/>
      </w:r>
      <w:r w:rsidR="002F650F">
        <w:t>Popis námětu dle Studie</w:t>
      </w:r>
    </w:p>
    <w:p w14:paraId="44859DAC" w14:textId="77777777" w:rsidR="002F650F" w:rsidRPr="00B73776" w:rsidRDefault="00B73776" w:rsidP="00B73776">
      <w:pPr>
        <w:pStyle w:val="Bntext"/>
        <w:rPr>
          <w:i/>
          <w:iCs/>
        </w:rPr>
      </w:pPr>
      <w:r w:rsidRPr="00B73776">
        <w:rPr>
          <w:i/>
          <w:iCs/>
        </w:rPr>
        <w:t xml:space="preserve">Stávající opěrná stěna bude opravena, poškozené kusy kamenných bloků budou vyměněny, dodatečné vysprávky jiným materiálem (cihla, beton) budou nahrazeny kamennými bloky, krytí koruny stěna bude sjednoceno (kamenná deska, cihla apod). Účelem je uvést opěrnou stěnu do jednotné technické a estetické kvality. Vysprávka bude koordinována s novou opěrnou stěnou (viz E.03). Funkce protipovodňové ochrany – horní úroveň stěny (koruna) – vychází z požadavků protipovodňové ochrany. Protipovodňové úpravy stávající opěrné stěny budou řešeny v koordinaci s novou opěrnou stěnou (viz E.03). V opěrné stěně je navrženo soklové osvětlení náplavky, popř. mobiliář (viz E.01).    </w:t>
      </w:r>
    </w:p>
    <w:p w14:paraId="54FEA786" w14:textId="77777777" w:rsidR="002F650F" w:rsidRDefault="008E208F" w:rsidP="00DA6A67">
      <w:pPr>
        <w:pStyle w:val="NadpisC"/>
      </w:pPr>
      <w:r>
        <w:t>2</w:t>
      </w:r>
      <w:r>
        <w:tab/>
      </w:r>
      <w:r w:rsidR="002F650F">
        <w:t>Umístění</w:t>
      </w:r>
    </w:p>
    <w:p w14:paraId="486DA9EE" w14:textId="77777777" w:rsidR="00B61069" w:rsidRDefault="00B61069" w:rsidP="00E952E9">
      <w:pPr>
        <w:pStyle w:val="Bntext"/>
      </w:pPr>
      <w:bookmarkStart w:id="0" w:name="_Hlk34635880"/>
      <w:r>
        <w:rPr>
          <w:noProof/>
        </w:rPr>
        <w:drawing>
          <wp:inline distT="0" distB="0" distL="0" distR="0" wp14:anchorId="7381DA6F" wp14:editId="57A5C491">
            <wp:extent cx="5759450" cy="2853055"/>
            <wp:effectExtent l="0" t="0" r="0" b="4445"/>
            <wp:docPr id="2" name="Obrázek 2" descr="Obsah obrázku map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tuace_E04.PNG"/>
                    <pic:cNvPicPr/>
                  </pic:nvPicPr>
                  <pic:blipFill>
                    <a:blip r:embed="rId7">
                      <a:extLst>
                        <a:ext uri="{28A0092B-C50C-407E-A947-70E740481C1C}">
                          <a14:useLocalDpi xmlns:a14="http://schemas.microsoft.com/office/drawing/2010/main" val="0"/>
                        </a:ext>
                      </a:extLst>
                    </a:blip>
                    <a:stretch>
                      <a:fillRect/>
                    </a:stretch>
                  </pic:blipFill>
                  <pic:spPr>
                    <a:xfrm>
                      <a:off x="0" y="0"/>
                      <a:ext cx="5759450" cy="2853055"/>
                    </a:xfrm>
                    <a:prstGeom prst="rect">
                      <a:avLst/>
                    </a:prstGeom>
                  </pic:spPr>
                </pic:pic>
              </a:graphicData>
            </a:graphic>
          </wp:inline>
        </w:drawing>
      </w:r>
    </w:p>
    <w:p w14:paraId="321CD8AB" w14:textId="77777777" w:rsidR="00BD506D" w:rsidRDefault="00BD506D" w:rsidP="00E952E9">
      <w:pPr>
        <w:pStyle w:val="Bntext"/>
      </w:pPr>
    </w:p>
    <w:p w14:paraId="17B0DD5C" w14:textId="77777777" w:rsidR="00E952E9" w:rsidRDefault="00BD506D" w:rsidP="00E952E9">
      <w:pPr>
        <w:pStyle w:val="Bntext"/>
      </w:pPr>
      <w:r>
        <w:rPr>
          <w:noProof/>
        </w:rPr>
        <w:drawing>
          <wp:anchor distT="0" distB="0" distL="114300" distR="114300" simplePos="0" relativeHeight="251657728" behindDoc="0" locked="0" layoutInCell="1" allowOverlap="1" wp14:anchorId="0D72E358" wp14:editId="0B885354">
            <wp:simplePos x="0" y="0"/>
            <wp:positionH relativeFrom="margin">
              <wp:posOffset>3481070</wp:posOffset>
            </wp:positionH>
            <wp:positionV relativeFrom="margin">
              <wp:posOffset>5391785</wp:posOffset>
            </wp:positionV>
            <wp:extent cx="2303780" cy="1584325"/>
            <wp:effectExtent l="0" t="0" r="1270" b="0"/>
            <wp:wrapSquare wrapText="bothSides"/>
            <wp:docPr id="3" name="Obrázek 3"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z_E04.PNG"/>
                    <pic:cNvPicPr/>
                  </pic:nvPicPr>
                  <pic:blipFill>
                    <a:blip r:embed="rId8">
                      <a:extLst>
                        <a:ext uri="{28A0092B-C50C-407E-A947-70E740481C1C}">
                          <a14:useLocalDpi xmlns:a14="http://schemas.microsoft.com/office/drawing/2010/main" val="0"/>
                        </a:ext>
                      </a:extLst>
                    </a:blip>
                    <a:stretch>
                      <a:fillRect/>
                    </a:stretch>
                  </pic:blipFill>
                  <pic:spPr>
                    <a:xfrm>
                      <a:off x="0" y="0"/>
                      <a:ext cx="2303780" cy="1584325"/>
                    </a:xfrm>
                    <a:prstGeom prst="rect">
                      <a:avLst/>
                    </a:prstGeom>
                  </pic:spPr>
                </pic:pic>
              </a:graphicData>
            </a:graphic>
            <wp14:sizeRelH relativeFrom="margin">
              <wp14:pctWidth>0</wp14:pctWidth>
            </wp14:sizeRelH>
            <wp14:sizeRelV relativeFrom="margin">
              <wp14:pctHeight>0</wp14:pctHeight>
            </wp14:sizeRelV>
          </wp:anchor>
        </w:drawing>
      </w:r>
      <w:r w:rsidR="00E952E9" w:rsidRPr="009A5019">
        <w:t xml:space="preserve">Námět v souladu s ÚP – koridory </w:t>
      </w:r>
      <w:r w:rsidR="00E952E9">
        <w:t xml:space="preserve">vodní a vodohospodářské </w:t>
      </w:r>
      <w:r>
        <w:tab/>
      </w:r>
      <w:r w:rsidR="00E952E9">
        <w:t xml:space="preserve">– KW-O36 </w:t>
      </w:r>
    </w:p>
    <w:p w14:paraId="7728BF9A" w14:textId="77777777" w:rsidR="00E952E9" w:rsidRDefault="00E952E9" w:rsidP="00E952E9">
      <w:pPr>
        <w:pStyle w:val="Bntext"/>
      </w:pPr>
      <w:r>
        <w:t>Zábory, majetkoprávní vypořádání – pozemek PO</w:t>
      </w:r>
    </w:p>
    <w:p w14:paraId="714B6516" w14:textId="77777777" w:rsidR="00E952E9" w:rsidRDefault="00E952E9" w:rsidP="00E952E9">
      <w:pPr>
        <w:pStyle w:val="Bntext"/>
      </w:pPr>
      <w:r>
        <w:t>Kolize s infrastrukturou – ANO, přeložka vodovodu DN 100</w:t>
      </w:r>
    </w:p>
    <w:p w14:paraId="7471FDCB" w14:textId="77777777" w:rsidR="00BD506D" w:rsidRDefault="00BD506D" w:rsidP="00E952E9">
      <w:pPr>
        <w:pStyle w:val="Bntext"/>
      </w:pPr>
    </w:p>
    <w:p w14:paraId="542237E0" w14:textId="77777777" w:rsidR="00BD506D" w:rsidRDefault="00BD506D" w:rsidP="00E952E9">
      <w:pPr>
        <w:pStyle w:val="Bntext"/>
      </w:pPr>
    </w:p>
    <w:p w14:paraId="3FC67234" w14:textId="77777777" w:rsidR="00BD506D" w:rsidRDefault="00BD506D" w:rsidP="00E952E9">
      <w:pPr>
        <w:pStyle w:val="Bntext"/>
      </w:pPr>
    </w:p>
    <w:bookmarkEnd w:id="0"/>
    <w:p w14:paraId="3B1808F6" w14:textId="77777777" w:rsidR="002F650F" w:rsidRDefault="008E208F" w:rsidP="00235460">
      <w:pPr>
        <w:pStyle w:val="NadpisC"/>
      </w:pPr>
      <w:r>
        <w:t>3</w:t>
      </w:r>
      <w:r>
        <w:tab/>
      </w:r>
      <w:r w:rsidR="00235460">
        <w:t>Komentář</w:t>
      </w:r>
    </w:p>
    <w:p w14:paraId="241C9791" w14:textId="77777777" w:rsidR="001246B1" w:rsidRDefault="001246B1" w:rsidP="001246B1">
      <w:pPr>
        <w:pStyle w:val="Bntext"/>
      </w:pPr>
      <w:r>
        <w:t>Řešení je uvedeno na přílohách studie: zpráva A str. 32, situace B.04e a příčný řez B.</w:t>
      </w:r>
      <w:proofErr w:type="gramStart"/>
      <w:r>
        <w:t>05h</w:t>
      </w:r>
      <w:proofErr w:type="gramEnd"/>
      <w:r>
        <w:t>.</w:t>
      </w:r>
    </w:p>
    <w:p w14:paraId="77EF531D" w14:textId="77777777" w:rsidR="001246B1" w:rsidRDefault="001246B1" w:rsidP="001246B1">
      <w:pPr>
        <w:pStyle w:val="Bntext"/>
      </w:pPr>
      <w:r>
        <w:t xml:space="preserve">Ve </w:t>
      </w:r>
      <w:r w:rsidRPr="000156FB">
        <w:rPr>
          <w:i/>
          <w:iCs/>
        </w:rPr>
        <w:t>Studii</w:t>
      </w:r>
      <w:r>
        <w:t xml:space="preserve"> ideové řešení.</w:t>
      </w:r>
      <w:r w:rsidR="00AE55F3" w:rsidRPr="00AE55F3">
        <w:rPr>
          <w:color w:val="0070C0"/>
        </w:rPr>
        <w:t xml:space="preserve"> </w:t>
      </w:r>
      <w:r w:rsidR="00AE55F3" w:rsidRPr="009B120A">
        <w:t>DUR počítá v předmětném úseku se zachováním stávající opěrné zdi a v části u mostu v ul. Sokolovsk</w:t>
      </w:r>
      <w:r w:rsidR="009B120A" w:rsidRPr="009B120A">
        <w:t>é</w:t>
      </w:r>
      <w:r w:rsidR="00AE55F3" w:rsidRPr="009B120A">
        <w:t xml:space="preserve"> se zřízením sjezdové rampy a opevněním svahů kamennou dlažbou. </w:t>
      </w:r>
    </w:p>
    <w:p w14:paraId="33547DA4"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4B64CB07" w14:textId="77777777" w:rsidR="00AE55F3" w:rsidRPr="009B120A" w:rsidRDefault="00843B05" w:rsidP="00843B05">
      <w:pPr>
        <w:pStyle w:val="Bntext"/>
      </w:pPr>
      <w:r w:rsidRPr="00F501A9">
        <w:t xml:space="preserve">Námět je slučitelný </w:t>
      </w:r>
      <w:r>
        <w:t xml:space="preserve">s </w:t>
      </w:r>
      <w:proofErr w:type="gramStart"/>
      <w:r>
        <w:t>koncepcí  bez</w:t>
      </w:r>
      <w:proofErr w:type="gramEnd"/>
      <w:r>
        <w:t xml:space="preserve"> ovlivnění funkce</w:t>
      </w:r>
      <w:r w:rsidRPr="00843B05">
        <w:t xml:space="preserve"> </w:t>
      </w:r>
      <w:r w:rsidRPr="00F501A9">
        <w:t>PPO</w:t>
      </w:r>
      <w:r>
        <w:t xml:space="preserve">. </w:t>
      </w:r>
      <w:r w:rsidR="00586DB0">
        <w:t xml:space="preserve">V DUR PPO je oprava stávající opěrné zdi </w:t>
      </w:r>
      <w:proofErr w:type="gramStart"/>
      <w:r w:rsidR="00586DB0">
        <w:t xml:space="preserve">zahrnuta.  </w:t>
      </w:r>
      <w:r w:rsidR="009B120A">
        <w:t>.</w:t>
      </w:r>
      <w:proofErr w:type="gramEnd"/>
    </w:p>
    <w:p w14:paraId="74CDAC33" w14:textId="77777777" w:rsidR="00ED3333" w:rsidRDefault="00843B05" w:rsidP="002F650F">
      <w:r>
        <w:rPr>
          <w:noProof/>
        </w:rPr>
        <w:lastRenderedPageBreak/>
        <w:drawing>
          <wp:inline distT="0" distB="0" distL="0" distR="0" wp14:anchorId="07F18560" wp14:editId="57966EC4">
            <wp:extent cx="4991100" cy="3743599"/>
            <wp:effectExtent l="0" t="0" r="0" b="9525"/>
            <wp:docPr id="1" name="Obrázek 1" descr="Obsah obrázku tráva, obloha, exteriér, zeď&#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CN0213.JPG"/>
                    <pic:cNvPicPr/>
                  </pic:nvPicPr>
                  <pic:blipFill>
                    <a:blip r:embed="rId9">
                      <a:extLst>
                        <a:ext uri="{28A0092B-C50C-407E-A947-70E740481C1C}">
                          <a14:useLocalDpi xmlns:a14="http://schemas.microsoft.com/office/drawing/2010/main" val="0"/>
                        </a:ext>
                      </a:extLst>
                    </a:blip>
                    <a:stretch>
                      <a:fillRect/>
                    </a:stretch>
                  </pic:blipFill>
                  <pic:spPr>
                    <a:xfrm>
                      <a:off x="0" y="0"/>
                      <a:ext cx="5049867" cy="3787677"/>
                    </a:xfrm>
                    <a:prstGeom prst="rect">
                      <a:avLst/>
                    </a:prstGeom>
                  </pic:spPr>
                </pic:pic>
              </a:graphicData>
            </a:graphic>
          </wp:inline>
        </w:drawing>
      </w:r>
    </w:p>
    <w:p w14:paraId="11540682" w14:textId="77777777" w:rsidR="00ED3333" w:rsidRDefault="00ED3333" w:rsidP="002F650F"/>
    <w:p w14:paraId="5F8A64F1" w14:textId="77777777" w:rsidR="002F650F" w:rsidRDefault="008E208F" w:rsidP="00DA6A67">
      <w:pPr>
        <w:pStyle w:val="NadpisC"/>
      </w:pPr>
      <w:r>
        <w:t>5</w:t>
      </w:r>
      <w:r>
        <w:tab/>
      </w:r>
      <w:r w:rsidR="005B07AF">
        <w:t>V</w:t>
      </w:r>
      <w:r w:rsidR="002F650F" w:rsidRPr="00ED3333">
        <w:t>liv na dosažení požadovaných kapacit PPO</w:t>
      </w:r>
    </w:p>
    <w:p w14:paraId="5B4F68D6" w14:textId="77777777" w:rsidR="00AE55F3" w:rsidRPr="00ED3333" w:rsidRDefault="00AE55F3" w:rsidP="00AE55F3">
      <w:pPr>
        <w:pStyle w:val="Bntext"/>
      </w:pPr>
      <w:r>
        <w:t>Vliv na kapacitu PPO neutrální.</w:t>
      </w:r>
    </w:p>
    <w:p w14:paraId="1075BA2E"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0F74216C" w14:textId="77777777" w:rsidR="00ED3333" w:rsidRDefault="00E6599E" w:rsidP="002F650F">
      <w:r>
        <w:t xml:space="preserve">V DUR PPO je v úseku námětu E.04 navržena </w:t>
      </w:r>
      <w:proofErr w:type="spellStart"/>
      <w:r>
        <w:t>sjezdivá</w:t>
      </w:r>
      <w:proofErr w:type="spellEnd"/>
      <w:r>
        <w:t xml:space="preserve"> rampa na bermu. Tato rampa může nahradit rampy </w:t>
      </w:r>
      <w:r w:rsidR="00B03B87">
        <w:t xml:space="preserve">navrhované v rámci námětů E.05 a D.06. </w:t>
      </w:r>
    </w:p>
    <w:p w14:paraId="7532F43D" w14:textId="77777777" w:rsidR="002F650F" w:rsidRDefault="007A41FB" w:rsidP="00DA6A67">
      <w:pPr>
        <w:pStyle w:val="NadpisC"/>
      </w:pPr>
      <w:r>
        <w:t>7</w:t>
      </w:r>
      <w:r>
        <w:tab/>
      </w:r>
      <w:r w:rsidR="00ED3333">
        <w:t>Z</w:t>
      </w:r>
      <w:r w:rsidR="002F650F">
        <w:t>hodnocení provozních hledisek z pohledu investor</w:t>
      </w:r>
      <w:r w:rsidR="004A005A">
        <w:t>a PPO</w:t>
      </w:r>
    </w:p>
    <w:p w14:paraId="3ED0B75B" w14:textId="77777777" w:rsidR="009B120A" w:rsidRDefault="009B120A" w:rsidP="009B120A">
      <w:pPr>
        <w:pStyle w:val="Bntext"/>
      </w:pPr>
      <w:r>
        <w:t>V nárocích na provozování a údržbu nejsou rozdíly oproti řešení v DUR PPO.</w:t>
      </w:r>
    </w:p>
    <w:p w14:paraId="6816E6D0" w14:textId="77777777" w:rsidR="002F650F" w:rsidRDefault="007A41FB" w:rsidP="00DA6A67">
      <w:pPr>
        <w:pStyle w:val="NadpisC"/>
      </w:pPr>
      <w:r>
        <w:t>8</w:t>
      </w:r>
      <w:r>
        <w:tab/>
      </w:r>
      <w:r w:rsidR="004A005A">
        <w:t>S</w:t>
      </w:r>
      <w:r w:rsidR="002F650F">
        <w:t xml:space="preserve">tanovisko </w:t>
      </w:r>
      <w:r w:rsidR="00DA6A67">
        <w:t>investora PPO</w:t>
      </w:r>
    </w:p>
    <w:p w14:paraId="51A1A1B6" w14:textId="77777777" w:rsidR="00DA6A67" w:rsidRDefault="005B385A" w:rsidP="00DA6A67">
      <w:pPr>
        <w:pStyle w:val="Bntext"/>
      </w:pPr>
      <w:r>
        <w:t xml:space="preserve">S opatřením Povodí Odry, státní podnik souhlasí. </w:t>
      </w:r>
    </w:p>
    <w:p w14:paraId="40C5AF64" w14:textId="77777777" w:rsidR="00964743" w:rsidRDefault="00964743" w:rsidP="00964743">
      <w:pPr>
        <w:pStyle w:val="Bntext"/>
      </w:pPr>
      <w:bookmarkStart w:id="1" w:name="_Hlk41986257"/>
      <w:bookmarkStart w:id="2" w:name="_Hlk41980802"/>
      <w:bookmarkStart w:id="3" w:name="_Hlk41980671"/>
      <w:r>
        <w:t>Z hlediska investorství</w:t>
      </w:r>
      <w:r w:rsidRPr="00B90B01">
        <w:t xml:space="preserve"> </w:t>
      </w:r>
      <w:r w:rsidRPr="00F56DCE">
        <w:rPr>
          <w:b/>
          <w:bCs/>
        </w:rPr>
        <w:t>Typ 1</w:t>
      </w:r>
      <w:r w:rsidRPr="00B90B01">
        <w:t xml:space="preserve"> </w:t>
      </w:r>
      <w:bookmarkStart w:id="4" w:name="_Hlk41990626"/>
      <w:r w:rsidRPr="00B90B01">
        <w:t>– součást PPO</w:t>
      </w:r>
      <w:bookmarkEnd w:id="4"/>
      <w:r>
        <w:t>.</w:t>
      </w:r>
      <w:bookmarkEnd w:id="1"/>
      <w:r>
        <w:t xml:space="preserve"> </w:t>
      </w:r>
      <w:bookmarkEnd w:id="2"/>
    </w:p>
    <w:bookmarkEnd w:id="3"/>
    <w:p w14:paraId="7AE654DC" w14:textId="77777777" w:rsidR="003E7A4B" w:rsidRPr="00DB36FA" w:rsidRDefault="004A005A" w:rsidP="00DB36FA">
      <w:pPr>
        <w:pStyle w:val="NadpisC"/>
      </w:pPr>
      <w:r>
        <w:t>9</w:t>
      </w:r>
      <w:r w:rsidR="007A41FB">
        <w:tab/>
      </w:r>
      <w:r w:rsidR="00DA6A67" w:rsidRPr="003E7A4B">
        <w:t>N</w:t>
      </w:r>
      <w:r w:rsidR="002F650F" w:rsidRPr="003E7A4B">
        <w:t xml:space="preserve">ávrh </w:t>
      </w:r>
      <w:r w:rsidR="00DA6A67" w:rsidRPr="003E7A4B">
        <w:t xml:space="preserve">zásad </w:t>
      </w:r>
      <w:r w:rsidR="002F650F" w:rsidRPr="003E7A4B">
        <w:t>koordinace přípravy a realizace</w:t>
      </w:r>
      <w:r w:rsidR="002F650F">
        <w:t xml:space="preserve"> </w:t>
      </w:r>
    </w:p>
    <w:p w14:paraId="71526B56" w14:textId="77777777" w:rsidR="009B120A" w:rsidRDefault="00DB36FA" w:rsidP="00456B21">
      <w:pPr>
        <w:pStyle w:val="Bntext"/>
      </w:pPr>
      <w:bookmarkStart w:id="5" w:name="_Hlk41890508"/>
      <w:r>
        <w:t xml:space="preserve">Námět je již zahrnut do PPO a bude financován jako jejich součást z prostředků investora PPO. Námět je </w:t>
      </w:r>
      <w:r w:rsidR="009B120A">
        <w:t xml:space="preserve">součástí </w:t>
      </w:r>
      <w:r>
        <w:t>stavebních objektů</w:t>
      </w:r>
      <w:r w:rsidR="009B120A">
        <w:t xml:space="preserve"> </w:t>
      </w:r>
      <w:r w:rsidR="009B120A" w:rsidRPr="00141FE7">
        <w:t xml:space="preserve">SO </w:t>
      </w:r>
      <w:proofErr w:type="gramStart"/>
      <w:r w:rsidR="009B120A" w:rsidRPr="00141FE7">
        <w:t>090.13.10  Úpravy</w:t>
      </w:r>
      <w:proofErr w:type="gramEnd"/>
      <w:r w:rsidR="009B120A" w:rsidRPr="00141FE7">
        <w:t xml:space="preserve"> a zvýšení levobřežní zdi říčního okruhu  v km 1,033 -1,298</w:t>
      </w:r>
      <w:r w:rsidR="009B120A">
        <w:t xml:space="preserve"> a </w:t>
      </w:r>
      <w:r w:rsidR="009B120A" w:rsidRPr="00141FE7">
        <w:t>SO 090.12.2  Úpravy levého břehu v km 0,874 - 0,980</w:t>
      </w:r>
      <w:r w:rsidR="009B120A">
        <w:t xml:space="preserve">. </w:t>
      </w:r>
    </w:p>
    <w:bookmarkEnd w:id="5"/>
    <w:p w14:paraId="01ECC658" w14:textId="20BB8928" w:rsidR="005300BD" w:rsidRDefault="005300BD" w:rsidP="005300BD">
      <w:pPr>
        <w:pStyle w:val="Bntext"/>
      </w:pPr>
    </w:p>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ED2640" w:rsidRPr="00ED5BBD" w14:paraId="3A0E584E" w14:textId="77777777" w:rsidTr="00BC25DC">
        <w:tc>
          <w:tcPr>
            <w:tcW w:w="9062" w:type="dxa"/>
            <w:shd w:val="clear" w:color="auto" w:fill="F2F2F2" w:themeFill="background1" w:themeFillShade="F2"/>
            <w:hideMark/>
          </w:tcPr>
          <w:p w14:paraId="76FBEF0A" w14:textId="77777777" w:rsidR="00ED2640" w:rsidRPr="00ED5BBD" w:rsidRDefault="00ED2640" w:rsidP="00BC25DC">
            <w:pPr>
              <w:rPr>
                <w:rFonts w:cs="Arial"/>
                <w:b/>
                <w:bCs/>
                <w:color w:val="FF0000"/>
                <w:szCs w:val="20"/>
              </w:rPr>
            </w:pPr>
            <w:bookmarkStart w:id="6" w:name="_Hlk48577253"/>
            <w:r w:rsidRPr="00ED5BBD">
              <w:rPr>
                <w:rFonts w:cs="Arial"/>
                <w:b/>
                <w:bCs/>
                <w:color w:val="FF0000"/>
                <w:sz w:val="24"/>
              </w:rPr>
              <w:t>ZÁVĚR</w:t>
            </w:r>
          </w:p>
        </w:tc>
      </w:tr>
      <w:tr w:rsidR="00ED2640" w:rsidRPr="00ED5BBD" w14:paraId="02F7736D" w14:textId="77777777" w:rsidTr="00BC25DC">
        <w:tc>
          <w:tcPr>
            <w:tcW w:w="9062" w:type="dxa"/>
            <w:hideMark/>
          </w:tcPr>
          <w:p w14:paraId="0E58B6E2" w14:textId="77777777" w:rsidR="00ED2640" w:rsidRDefault="00ED2640" w:rsidP="00ED2640">
            <w:pPr>
              <w:pStyle w:val="Bntext"/>
              <w:rPr>
                <w:color w:val="FF0000"/>
                <w:szCs w:val="20"/>
              </w:rPr>
            </w:pPr>
            <w:r>
              <w:rPr>
                <w:color w:val="FF0000"/>
                <w:szCs w:val="20"/>
              </w:rPr>
              <w:t>Souhlasíme se stanoviskem.</w:t>
            </w:r>
          </w:p>
          <w:p w14:paraId="535E83F9" w14:textId="6EDB067B" w:rsidR="00ED2640" w:rsidRDefault="00ED2640" w:rsidP="00BC25DC">
            <w:pPr>
              <w:pStyle w:val="Bntext"/>
              <w:rPr>
                <w:rFonts w:cs="Arial"/>
                <w:color w:val="FF0000"/>
                <w:szCs w:val="20"/>
              </w:rPr>
            </w:pPr>
            <w:r>
              <w:rPr>
                <w:color w:val="FF0000"/>
                <w:szCs w:val="20"/>
              </w:rPr>
              <w:t xml:space="preserve">Koordinovat s viz E.01 </w:t>
            </w:r>
          </w:p>
          <w:p w14:paraId="6BF9C6EA" w14:textId="77777777" w:rsidR="00ED2640" w:rsidRPr="00ED5BBD" w:rsidRDefault="00ED2640" w:rsidP="00BC25DC">
            <w:pPr>
              <w:pStyle w:val="Bntext"/>
              <w:rPr>
                <w:rFonts w:cs="Arial"/>
                <w:color w:val="FF0000"/>
                <w:szCs w:val="20"/>
              </w:rPr>
            </w:pPr>
          </w:p>
          <w:p w14:paraId="6850E894" w14:textId="77777777" w:rsidR="00ED2640" w:rsidRPr="00ED5BBD" w:rsidRDefault="00ED2640" w:rsidP="00BC25DC">
            <w:pPr>
              <w:rPr>
                <w:rFonts w:cs="Arial"/>
                <w:color w:val="FF0000"/>
                <w:szCs w:val="20"/>
              </w:rPr>
            </w:pPr>
          </w:p>
        </w:tc>
      </w:tr>
      <w:tr w:rsidR="00ED2640" w:rsidRPr="00ED5BBD" w14:paraId="12E63451" w14:textId="77777777" w:rsidTr="00BC25DC">
        <w:tc>
          <w:tcPr>
            <w:tcW w:w="9062" w:type="dxa"/>
            <w:shd w:val="clear" w:color="auto" w:fill="auto"/>
          </w:tcPr>
          <w:p w14:paraId="6A13C129" w14:textId="77777777" w:rsidR="00ED2640" w:rsidRPr="00ED5BBD" w:rsidRDefault="00ED2640"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w:t>
            </w:r>
            <w:r w:rsidRPr="00ED5BBD">
              <w:rPr>
                <w:rFonts w:cs="Arial"/>
                <w:i/>
                <w:iCs/>
                <w:color w:val="FF0000"/>
                <w:szCs w:val="20"/>
              </w:rPr>
              <w:lastRenderedPageBreak/>
              <w:t xml:space="preserve">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6"/>
    </w:tbl>
    <w:p w14:paraId="51F73BBA" w14:textId="77777777" w:rsidR="00ED2640" w:rsidRPr="005300BD" w:rsidRDefault="00ED2640">
      <w:pPr>
        <w:pStyle w:val="Bntext"/>
      </w:pPr>
    </w:p>
    <w:sectPr w:rsidR="00ED2640" w:rsidRPr="005300BD">
      <w:headerReference w:type="default" r:id="rId10"/>
      <w:footerReference w:type="default" r:id="rId11"/>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57872" w14:textId="77777777" w:rsidR="00A640AB" w:rsidRDefault="00A640AB">
      <w:r>
        <w:separator/>
      </w:r>
    </w:p>
  </w:endnote>
  <w:endnote w:type="continuationSeparator" w:id="0">
    <w:p w14:paraId="6220081F" w14:textId="77777777" w:rsidR="00A640AB" w:rsidRDefault="00A64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111F2266" w14:textId="77777777">
      <w:trPr>
        <w:cantSplit/>
      </w:trPr>
      <w:tc>
        <w:tcPr>
          <w:tcW w:w="9210" w:type="dxa"/>
          <w:gridSpan w:val="2"/>
          <w:tcBorders>
            <w:bottom w:val="single" w:sz="4" w:space="0" w:color="auto"/>
          </w:tcBorders>
        </w:tcPr>
        <w:p w14:paraId="4F29C95F"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725A877D" w14:textId="77777777">
      <w:tc>
        <w:tcPr>
          <w:tcW w:w="4605" w:type="dxa"/>
          <w:tcBorders>
            <w:top w:val="single" w:sz="4" w:space="0" w:color="auto"/>
          </w:tcBorders>
        </w:tcPr>
        <w:p w14:paraId="72775135" w14:textId="1AFE11EB" w:rsidR="00BE0FEB" w:rsidRDefault="00A640AB">
          <w:pPr>
            <w:pStyle w:val="Zpat"/>
          </w:pPr>
          <w:r>
            <w:fldChar w:fldCharType="begin"/>
          </w:r>
          <w:r>
            <w:instrText xml:space="preserve"> FILENAME  \* MERGEFORMAT </w:instrText>
          </w:r>
          <w:r>
            <w:fldChar w:fldCharType="separate"/>
          </w:r>
          <w:r w:rsidR="00ED2640">
            <w:rPr>
              <w:noProof/>
            </w:rPr>
            <w:t>E_04+zaver 08-2020.docx</w:t>
          </w:r>
          <w:r>
            <w:rPr>
              <w:noProof/>
            </w:rPr>
            <w:fldChar w:fldCharType="end"/>
          </w:r>
        </w:p>
      </w:tc>
      <w:tc>
        <w:tcPr>
          <w:tcW w:w="4605" w:type="dxa"/>
          <w:tcBorders>
            <w:top w:val="single" w:sz="4" w:space="0" w:color="auto"/>
          </w:tcBorders>
          <w:vAlign w:val="bottom"/>
        </w:tcPr>
        <w:p w14:paraId="66735A42" w14:textId="77777777" w:rsidR="00BE0FEB" w:rsidRDefault="00BE0FEB">
          <w:pPr>
            <w:pStyle w:val="Zpat"/>
            <w:jc w:val="right"/>
          </w:pPr>
          <w:r>
            <w:t xml:space="preserve">strana </w:t>
          </w:r>
          <w:r>
            <w:fldChar w:fldCharType="begin"/>
          </w:r>
          <w:r>
            <w:instrText xml:space="preserve"> PAGE </w:instrText>
          </w:r>
          <w:r>
            <w:fldChar w:fldCharType="separate"/>
          </w:r>
          <w:r w:rsidR="005B385A">
            <w:rPr>
              <w:noProof/>
            </w:rPr>
            <w:t>1</w:t>
          </w:r>
          <w:r>
            <w:fldChar w:fldCharType="end"/>
          </w:r>
        </w:p>
      </w:tc>
    </w:tr>
  </w:tbl>
  <w:p w14:paraId="160CCDBC"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2EDEE" w14:textId="77777777" w:rsidR="00A640AB" w:rsidRDefault="00A640AB">
      <w:r>
        <w:separator/>
      </w:r>
    </w:p>
  </w:footnote>
  <w:footnote w:type="continuationSeparator" w:id="0">
    <w:p w14:paraId="3EC8762D" w14:textId="77777777" w:rsidR="00A640AB" w:rsidRDefault="00A64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0A397AE8" w14:textId="77777777" w:rsidTr="002F650F">
      <w:tc>
        <w:tcPr>
          <w:tcW w:w="4677" w:type="dxa"/>
          <w:tcBorders>
            <w:bottom w:val="single" w:sz="4" w:space="0" w:color="auto"/>
          </w:tcBorders>
        </w:tcPr>
        <w:p w14:paraId="1E7515BB" w14:textId="77777777" w:rsidR="00BC0753" w:rsidRDefault="00101B48" w:rsidP="00BC0753">
          <w:pPr>
            <w:pStyle w:val="Zhlav"/>
          </w:pPr>
          <w:r>
            <w:t>List opatření</w:t>
          </w:r>
        </w:p>
      </w:tc>
      <w:tc>
        <w:tcPr>
          <w:tcW w:w="4605" w:type="dxa"/>
          <w:tcBorders>
            <w:bottom w:val="single" w:sz="4" w:space="0" w:color="auto"/>
          </w:tcBorders>
          <w:vAlign w:val="bottom"/>
        </w:tcPr>
        <w:p w14:paraId="0CCF5D43"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02BAEF5C" w14:textId="77777777" w:rsidTr="002F650F">
      <w:trPr>
        <w:cantSplit/>
      </w:trPr>
      <w:tc>
        <w:tcPr>
          <w:tcW w:w="9282" w:type="dxa"/>
          <w:gridSpan w:val="2"/>
          <w:tcBorders>
            <w:top w:val="single" w:sz="4" w:space="0" w:color="auto"/>
            <w:bottom w:val="nil"/>
          </w:tcBorders>
        </w:tcPr>
        <w:p w14:paraId="5A2CC629" w14:textId="77777777" w:rsidR="00BE0FEB" w:rsidRDefault="007B4C02">
          <w:pPr>
            <w:pStyle w:val="Zhlav"/>
            <w:jc w:val="right"/>
          </w:pPr>
          <w:proofErr w:type="gramStart"/>
          <w:r>
            <w:t>20044A</w:t>
          </w:r>
          <w:proofErr w:type="gramEnd"/>
        </w:p>
      </w:tc>
    </w:tr>
  </w:tbl>
  <w:p w14:paraId="587D5571"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8" w15:restartNumberingAfterBreak="0">
    <w:nsid w:val="7DCC4C61"/>
    <w:multiLevelType w:val="hybridMultilevel"/>
    <w:tmpl w:val="E4623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D3"/>
    <w:rsid w:val="00011209"/>
    <w:rsid w:val="00051DAD"/>
    <w:rsid w:val="00085E1F"/>
    <w:rsid w:val="00101B48"/>
    <w:rsid w:val="001246B1"/>
    <w:rsid w:val="001D6AFC"/>
    <w:rsid w:val="001E1F3D"/>
    <w:rsid w:val="001E687B"/>
    <w:rsid w:val="0020014E"/>
    <w:rsid w:val="00222AA0"/>
    <w:rsid w:val="00235460"/>
    <w:rsid w:val="002F08DA"/>
    <w:rsid w:val="002F650F"/>
    <w:rsid w:val="00314476"/>
    <w:rsid w:val="003E7A4B"/>
    <w:rsid w:val="003F5A51"/>
    <w:rsid w:val="00456B21"/>
    <w:rsid w:val="00493812"/>
    <w:rsid w:val="004A005A"/>
    <w:rsid w:val="004B72EB"/>
    <w:rsid w:val="005300BD"/>
    <w:rsid w:val="00586DB0"/>
    <w:rsid w:val="005B07AF"/>
    <w:rsid w:val="005B385A"/>
    <w:rsid w:val="005E182B"/>
    <w:rsid w:val="006528BB"/>
    <w:rsid w:val="00693F6B"/>
    <w:rsid w:val="00695840"/>
    <w:rsid w:val="00737355"/>
    <w:rsid w:val="00785BDD"/>
    <w:rsid w:val="007A41FB"/>
    <w:rsid w:val="007B4C02"/>
    <w:rsid w:val="00843B05"/>
    <w:rsid w:val="008E208F"/>
    <w:rsid w:val="00947DE4"/>
    <w:rsid w:val="00964743"/>
    <w:rsid w:val="00997470"/>
    <w:rsid w:val="009B120A"/>
    <w:rsid w:val="009B4603"/>
    <w:rsid w:val="00A43A9E"/>
    <w:rsid w:val="00A640AB"/>
    <w:rsid w:val="00AE55F3"/>
    <w:rsid w:val="00B03B87"/>
    <w:rsid w:val="00B50DEA"/>
    <w:rsid w:val="00B61069"/>
    <w:rsid w:val="00B73776"/>
    <w:rsid w:val="00BC0753"/>
    <w:rsid w:val="00BD23D3"/>
    <w:rsid w:val="00BD506D"/>
    <w:rsid w:val="00BE0FEB"/>
    <w:rsid w:val="00C77BB3"/>
    <w:rsid w:val="00D545CB"/>
    <w:rsid w:val="00DA6A67"/>
    <w:rsid w:val="00DB36FA"/>
    <w:rsid w:val="00DD256E"/>
    <w:rsid w:val="00E25109"/>
    <w:rsid w:val="00E40D6B"/>
    <w:rsid w:val="00E63454"/>
    <w:rsid w:val="00E6599E"/>
    <w:rsid w:val="00E952E9"/>
    <w:rsid w:val="00ED2640"/>
    <w:rsid w:val="00ED3333"/>
    <w:rsid w:val="00FC48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42C56"/>
  <w15:docId w15:val="{00120CE8-79B4-4583-97CC-3D6941AB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586DB0"/>
    <w:rPr>
      <w:rFonts w:ascii="Tahoma" w:hAnsi="Tahoma" w:cs="Tahoma"/>
      <w:sz w:val="16"/>
      <w:szCs w:val="16"/>
    </w:rPr>
  </w:style>
  <w:style w:type="character" w:customStyle="1" w:styleId="TextbublinyChar">
    <w:name w:val="Text bubliny Char"/>
    <w:basedOn w:val="Standardnpsmoodstavce"/>
    <w:link w:val="Textbubliny"/>
    <w:rsid w:val="00586D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0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3</Pages>
  <Words>391</Words>
  <Characters>2312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42</cp:revision>
  <cp:lastPrinted>1900-12-31T23:00:00Z</cp:lastPrinted>
  <dcterms:created xsi:type="dcterms:W3CDTF">2020-02-20T08:46:00Z</dcterms:created>
  <dcterms:modified xsi:type="dcterms:W3CDTF">2020-08-17T15:57:00Z</dcterms:modified>
</cp:coreProperties>
</file>